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D50" w:rsidRPr="00932D56" w:rsidRDefault="004F472E" w:rsidP="00917D50">
      <w:pPr>
        <w:jc w:val="center"/>
        <w:rPr>
          <w:b/>
          <w:sz w:val="40"/>
          <w:szCs w:val="40"/>
        </w:rPr>
      </w:pPr>
      <w:r>
        <w:rPr>
          <w:noProof/>
          <w:lang w:eastAsia="bg-BG"/>
        </w:rPr>
        <w:pict>
          <v:rect id="Rectangle 10" o:spid="_x0000_s1026" style="position:absolute;left:0;text-align:left;margin-left:0;margin-top:0;width:447.85pt;height:26.7pt;z-index:-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" fillcolor="#eeece1" stroked="f" strokeweight="2pt">
            <v:path arrowok="t"/>
          </v:rect>
        </w:pict>
      </w:r>
      <w:r w:rsidR="00917D50" w:rsidRPr="00932D56">
        <w:rPr>
          <w:b/>
          <w:sz w:val="40"/>
          <w:szCs w:val="40"/>
        </w:rPr>
        <w:t>ОБЯСНИТЕЛНА ЗАПИСКА</w:t>
      </w:r>
    </w:p>
    <w:p w:rsidR="00FA5239" w:rsidRPr="00FA5239" w:rsidRDefault="00917D50" w:rsidP="00FA523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val="en-US" w:eastAsia="bg-BG"/>
        </w:rPr>
      </w:pPr>
      <w:r w:rsidRPr="00932D56">
        <w:rPr>
          <w:b/>
          <w:u w:val="single"/>
        </w:rPr>
        <w:t>ОБЕКТ:</w:t>
      </w:r>
      <w:r w:rsidRPr="00932D56">
        <w:rPr>
          <w:b/>
        </w:rPr>
        <w:t xml:space="preserve">    </w:t>
      </w:r>
      <w:proofErr w:type="spellStart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Реконструкция</w:t>
      </w:r>
      <w:proofErr w:type="spellEnd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 xml:space="preserve"> и </w:t>
      </w:r>
      <w:proofErr w:type="spellStart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обновление</w:t>
      </w:r>
      <w:proofErr w:type="spellEnd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 xml:space="preserve"> </w:t>
      </w:r>
      <w:proofErr w:type="spellStart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на</w:t>
      </w:r>
      <w:proofErr w:type="spellEnd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 xml:space="preserve"> </w:t>
      </w:r>
      <w:proofErr w:type="spellStart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пл</w:t>
      </w:r>
      <w:proofErr w:type="spellEnd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. „</w:t>
      </w:r>
      <w:proofErr w:type="spellStart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България</w:t>
      </w:r>
      <w:proofErr w:type="spellEnd"/>
      <w:r w:rsidR="00FA5239" w:rsidRPr="00FA5239">
        <w:rPr>
          <w:rFonts w:eastAsia="Times New Roman" w:cs="Calibri"/>
          <w:bCs/>
          <w:sz w:val="24"/>
          <w:szCs w:val="24"/>
          <w:lang w:val="en-US" w:eastAsia="bg-BG"/>
        </w:rPr>
        <w:t>“,</w:t>
      </w:r>
    </w:p>
    <w:p w:rsidR="00EE349D" w:rsidRPr="00A94CE1" w:rsidRDefault="00FA5239" w:rsidP="00FA5239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4"/>
          <w:szCs w:val="24"/>
          <w:lang w:val="en-US" w:eastAsia="bg-BG"/>
        </w:rPr>
      </w:pPr>
      <w:proofErr w:type="gramStart"/>
      <w:r w:rsidRPr="00FA5239">
        <w:rPr>
          <w:rFonts w:eastAsia="Times New Roman" w:cs="Calibri"/>
          <w:bCs/>
          <w:sz w:val="24"/>
          <w:szCs w:val="24"/>
          <w:lang w:val="en-US" w:eastAsia="bg-BG"/>
        </w:rPr>
        <w:t>в</w:t>
      </w:r>
      <w:proofErr w:type="gramEnd"/>
      <w:r w:rsidRPr="00FA5239">
        <w:rPr>
          <w:rFonts w:eastAsia="Times New Roman" w:cs="Calibri"/>
          <w:bCs/>
          <w:sz w:val="24"/>
          <w:szCs w:val="24"/>
          <w:lang w:val="en-US" w:eastAsia="bg-BG"/>
        </w:rPr>
        <w:t xml:space="preserve"> </w:t>
      </w:r>
      <w:proofErr w:type="spellStart"/>
      <w:r w:rsidRPr="00FA5239">
        <w:rPr>
          <w:rFonts w:eastAsia="Times New Roman" w:cs="Calibri"/>
          <w:bCs/>
          <w:sz w:val="24"/>
          <w:szCs w:val="24"/>
          <w:lang w:val="en-US" w:eastAsia="bg-BG"/>
        </w:rPr>
        <w:t>гр</w:t>
      </w:r>
      <w:proofErr w:type="spellEnd"/>
      <w:r w:rsidRPr="00FA5239">
        <w:rPr>
          <w:rFonts w:eastAsia="Times New Roman" w:cs="Calibri"/>
          <w:bCs/>
          <w:sz w:val="24"/>
          <w:szCs w:val="24"/>
          <w:lang w:val="en-US" w:eastAsia="bg-BG"/>
        </w:rPr>
        <w:t xml:space="preserve">. </w:t>
      </w:r>
      <w:proofErr w:type="spellStart"/>
      <w:r w:rsidRPr="00FA5239">
        <w:rPr>
          <w:rFonts w:eastAsia="Times New Roman" w:cs="Calibri"/>
          <w:bCs/>
          <w:sz w:val="24"/>
          <w:szCs w:val="24"/>
          <w:lang w:val="en-US" w:eastAsia="bg-BG"/>
        </w:rPr>
        <w:t>Крумовград</w:t>
      </w:r>
      <w:proofErr w:type="spellEnd"/>
    </w:p>
    <w:p w:rsidR="00932D56" w:rsidRPr="00C248E4" w:rsidRDefault="00932D56" w:rsidP="00B6299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</w:rPr>
      </w:pPr>
    </w:p>
    <w:p w:rsidR="00565389" w:rsidRPr="00932D56" w:rsidRDefault="00565389" w:rsidP="006673E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932D56" w:rsidRDefault="002B7EF9" w:rsidP="002B7EF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ascii="Arial" w:hAnsi="Arial" w:cs="Arial"/>
          <w:sz w:val="24"/>
          <w:szCs w:val="24"/>
        </w:rPr>
        <w:t xml:space="preserve">     </w:t>
      </w:r>
      <w:r w:rsidR="001B654A" w:rsidRPr="00932D56">
        <w:rPr>
          <w:rFonts w:eastAsia="Times New Roman" w:cs="Calibri"/>
          <w:bCs/>
          <w:sz w:val="24"/>
          <w:szCs w:val="24"/>
          <w:lang w:val="ru-RU" w:eastAsia="bg-BG"/>
        </w:rPr>
        <w:t>Настояващият технически проект е разработен въз основа на указания на Инвеститора и изготвен архитектурен проект.</w:t>
      </w:r>
    </w:p>
    <w:p w:rsidR="00FA5239" w:rsidRPr="00932D56" w:rsidRDefault="00FA5239" w:rsidP="002B7EF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val="en-US" w:eastAsia="bg-BG"/>
        </w:rPr>
      </w:pPr>
    </w:p>
    <w:p w:rsidR="00B500D9" w:rsidRDefault="001B654A" w:rsidP="002B7EF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</w:t>
      </w:r>
      <w:r w:rsidR="00A94CE1">
        <w:rPr>
          <w:rFonts w:eastAsia="Times New Roman" w:cs="Calibri"/>
          <w:bCs/>
          <w:sz w:val="24"/>
          <w:szCs w:val="24"/>
          <w:lang w:eastAsia="bg-BG"/>
        </w:rPr>
        <w:t>Проектът включва изгра</w:t>
      </w:r>
      <w:r w:rsidR="00A17A40">
        <w:rPr>
          <w:rFonts w:eastAsia="Times New Roman" w:cs="Calibri"/>
          <w:bCs/>
          <w:sz w:val="24"/>
          <w:szCs w:val="24"/>
          <w:lang w:eastAsia="bg-BG"/>
        </w:rPr>
        <w:t xml:space="preserve">ждане на </w:t>
      </w:r>
      <w:r w:rsidR="00FA5239">
        <w:rPr>
          <w:rFonts w:eastAsia="Times New Roman" w:cs="Calibri"/>
          <w:bCs/>
          <w:sz w:val="24"/>
          <w:szCs w:val="24"/>
          <w:lang w:eastAsia="bg-BG"/>
        </w:rPr>
        <w:t>различни видове кашпи, басйн с дълбочина 53 см., реконструкция на паметник на хан Крум и изграждане на съхи фонтани.</w:t>
      </w:r>
    </w:p>
    <w:p w:rsidR="00FA5239" w:rsidRPr="00FA5239" w:rsidRDefault="00FA5239" w:rsidP="002B7EF9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bg-BG"/>
        </w:rPr>
      </w:pPr>
    </w:p>
    <w:p w:rsidR="00F8625F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Кашпите ще се изпълнят със стоманобетонна конструкция – стоманобетонни стени</w:t>
      </w:r>
    </w:p>
    <w:p w:rsidR="00FA5239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FA5239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>
        <w:rPr>
          <w:rFonts w:eastAsia="Times New Roman" w:cs="Calibri"/>
          <w:bCs/>
          <w:sz w:val="24"/>
          <w:szCs w:val="24"/>
          <w:lang w:val="ru-RU" w:eastAsia="bg-BG"/>
        </w:rPr>
        <w:t>Басейнът ще се изпълни със стоманобетонна носеща конструкция стени 25 см.</w:t>
      </w:r>
    </w:p>
    <w:p w:rsidR="00FA5239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FA5239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>
        <w:rPr>
          <w:rFonts w:eastAsia="Times New Roman" w:cs="Calibri"/>
          <w:bCs/>
          <w:sz w:val="24"/>
          <w:szCs w:val="24"/>
          <w:lang w:val="ru-RU" w:eastAsia="bg-BG"/>
        </w:rPr>
        <w:t>Рекунструкцията предвижда запазване на съшествуващия постамент и окрепване със стоманобетонна конструкция.</w:t>
      </w:r>
    </w:p>
    <w:p w:rsidR="00FA5239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FA5239" w:rsidRPr="00932D56" w:rsidRDefault="00FA5239" w:rsidP="002B7E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>
        <w:rPr>
          <w:rFonts w:eastAsia="Times New Roman" w:cs="Calibri"/>
          <w:bCs/>
          <w:sz w:val="24"/>
          <w:szCs w:val="24"/>
          <w:lang w:val="ru-RU" w:eastAsia="bg-BG"/>
        </w:rPr>
        <w:t>Сухите фонтани ще се изпълнят със стоманобетонна носеща конструкция и стоманобетонна настилка.</w:t>
      </w:r>
    </w:p>
    <w:p w:rsidR="00932762" w:rsidRPr="00932D56" w:rsidRDefault="000F3277" w:rsidP="00932762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ascii="Arial" w:hAnsi="Arial" w:cs="Arial"/>
          <w:sz w:val="24"/>
          <w:szCs w:val="24"/>
        </w:rPr>
        <w:t xml:space="preserve"> 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</w:t>
      </w:r>
    </w:p>
    <w:p w:rsidR="006673EC" w:rsidRPr="00932D56" w:rsidRDefault="0075212E" w:rsidP="006673EC">
      <w:pPr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При изчисляване на земната основа е прието нормативно почвено натоварване – 0.15 МРа.</w:t>
      </w:r>
    </w:p>
    <w:p w:rsidR="0075212E" w:rsidRPr="00932D56" w:rsidRDefault="006534E1" w:rsidP="00E55E78">
      <w:pPr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Площадката  на обекта попада в район с нормативно натоварване от сняг – </w:t>
      </w:r>
      <w:r w:rsidR="00A94CE1">
        <w:rPr>
          <w:rFonts w:eastAsia="Times New Roman" w:cs="Calibri"/>
          <w:bCs/>
          <w:sz w:val="24"/>
          <w:szCs w:val="24"/>
          <w:lang w:val="ru-RU" w:eastAsia="bg-BG"/>
        </w:rPr>
        <w:t>1,2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кN/ m2  </w:t>
      </w:r>
      <w:r w:rsidR="00A94CE1">
        <w:rPr>
          <w:rFonts w:eastAsia="Times New Roman" w:cs="Calibri"/>
          <w:bCs/>
          <w:sz w:val="24"/>
          <w:szCs w:val="24"/>
          <w:lang w:val="ru-RU" w:eastAsia="bg-BG"/>
        </w:rPr>
        <w:t>,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в район с </w:t>
      </w:r>
      <w:r w:rsidR="00A94CE1">
        <w:rPr>
          <w:rFonts w:eastAsia="Times New Roman" w:cs="Calibri"/>
          <w:bCs/>
          <w:sz w:val="24"/>
          <w:szCs w:val="24"/>
          <w:lang w:val="en-US" w:eastAsia="bg-BG"/>
        </w:rPr>
        <w:t>VII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- та степен на сеизмичност- Кс=0</w:t>
      </w:r>
      <w:r w:rsidR="00E55E78" w:rsidRPr="00932D56">
        <w:rPr>
          <w:rFonts w:eastAsia="Times New Roman" w:cs="Calibri"/>
          <w:bCs/>
          <w:sz w:val="24"/>
          <w:szCs w:val="24"/>
          <w:lang w:val="ru-RU" w:eastAsia="bg-BG"/>
        </w:rPr>
        <w:t>.</w:t>
      </w:r>
      <w:r w:rsidR="00A94CE1">
        <w:rPr>
          <w:rFonts w:eastAsia="Times New Roman" w:cs="Calibri"/>
          <w:bCs/>
          <w:sz w:val="24"/>
          <w:szCs w:val="24"/>
          <w:lang w:val="ru-RU" w:eastAsia="bg-BG"/>
        </w:rPr>
        <w:t>10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,  съгласно НАРЕДБА № РД-02-20-2 от 27 януари 2012 г. за проектиране на сгради и съоръжения в земетръсни райони.  Конструктивните елементи са оразмерени съгласно действуващите в момента НАРЕДБА № РД-02-20-2 от 27 януари 2012 г. за проектиране на сгради и съоръжения в земетръсни райони , за товари по</w:t>
      </w:r>
      <w:r w:rsidR="0075212E"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” НАРЕДБА № 3 от 21 юли 2004 г. за основните положения за проектиране на конструкциите на строежите и за въздействията върху тях (обн., ДВ, бр. 92 от 2004 г.; попр., бр. 98 от 2004 г.; изм. и доп., бр. 33 от 2005 г.).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Материали:</w:t>
      </w:r>
    </w:p>
    <w:p w:rsidR="0075212E" w:rsidRPr="00932D56" w:rsidRDefault="0075212E" w:rsidP="0075212E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Бетон  клас С20/25 с Rb = 14.5 МРа.</w:t>
      </w:r>
      <w:r w:rsidR="007D5988"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 Подложен бетон C 8/10 с Rb = 6.0 МРа</w:t>
      </w:r>
    </w:p>
    <w:p w:rsidR="0075212E" w:rsidRPr="00932D56" w:rsidRDefault="0075212E" w:rsidP="0075212E">
      <w:pPr>
        <w:pStyle w:val="ListParagraph"/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Армировка от стомана АI с Rs=225МРа ,</w:t>
      </w:r>
      <w:r w:rsidR="009D2400"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T IV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Rs=430МРа;</w:t>
      </w:r>
    </w:p>
    <w:p w:rsidR="0075212E" w:rsidRPr="00932D56" w:rsidRDefault="0075212E" w:rsidP="0075212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Профили по ЕN и  стомана S235JR;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При изпълнение на строителните и монтажните работи да с</w:t>
      </w:r>
      <w:r w:rsidR="00B6591E"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е спазват стриктно правилата 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и нормите по </w:t>
      </w:r>
      <w:r w:rsidR="00B6591E" w:rsidRPr="00932D56">
        <w:rPr>
          <w:rFonts w:eastAsia="Times New Roman" w:cs="Calibri"/>
          <w:bCs/>
          <w:sz w:val="24"/>
          <w:szCs w:val="24"/>
          <w:lang w:eastAsia="bg-BG"/>
        </w:rPr>
        <w:t>ЗБУТ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При изпълнение на проекта са използвани следните нормативни документи:</w:t>
      </w:r>
    </w:p>
    <w:p w:rsidR="0075212E" w:rsidRPr="00932D56" w:rsidRDefault="0075212E" w:rsidP="0075212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НАРЕДБА № РД-02-20-2 от 27 януари 2012 г. за проектиране на сгради и съоръжения в земетръсни райони</w:t>
      </w:r>
    </w:p>
    <w:p w:rsidR="0075212E" w:rsidRPr="00932D56" w:rsidRDefault="0075212E" w:rsidP="0075212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НАРЕДБА № 3 от 21 юли 2004 г. за основните положения за проектиране на конструкциите на строежите и за въздействията върху тях (обн., ДВ, бр. 92 от 2004 г.; попр., бр. 98 от 2004 г.; изм. и доп., бр. 33 от 2005 г.)</w:t>
      </w:r>
    </w:p>
    <w:p w:rsidR="0075212E" w:rsidRPr="00932D56" w:rsidRDefault="0075212E" w:rsidP="0075212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lastRenderedPageBreak/>
        <w:t>Норми за проектиране на бетонни и стоманобетонни конструкции-01.03.1987г.; изменение №1 и №2 от 1993г.; изменение №3 от 1996 г. и изменение №4 от 1999г.</w:t>
      </w:r>
    </w:p>
    <w:p w:rsidR="0075212E" w:rsidRPr="00932D56" w:rsidRDefault="0075212E" w:rsidP="0075212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Наредба №1 за проектиране на плоско фундиране –1996г</w:t>
      </w:r>
    </w:p>
    <w:p w:rsidR="0075212E" w:rsidRPr="00932D56" w:rsidRDefault="004F472E" w:rsidP="0075212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hyperlink r:id="rId9" w:tooltip="Норми за проектиране на стоманени конструкции" w:history="1">
        <w:r w:rsidR="0075212E" w:rsidRPr="00932D56">
          <w:rPr>
            <w:rFonts w:eastAsia="Times New Roman" w:cs="Calibri"/>
            <w:bCs/>
            <w:sz w:val="24"/>
            <w:szCs w:val="24"/>
            <w:lang w:val="ru-RU" w:eastAsia="bg-BG"/>
          </w:rPr>
          <w:t>Норми за проектиране на стоманени конструкции</w:t>
        </w:r>
      </w:hyperlink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При извършване на статическите и динамичните изследвания на сградата е използван метод на крайните елементи: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- за статичен и динамичен анализ на равнинни и пространствени конструкции по метода на крайните елементи, която за дадената конструкция се използва  при следните предпоставки: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-линейност на преместванията.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-линейна връзка между деформации и усилия.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-условията за равновесие се записват спрямо недеформираното положение на тялото.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-колоните и гредите са моделирани като прътови елементи.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-моделът за анализ на конструкцията е пространствен.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>За оразмеряване са използвани гранични усилия от най- неблагоприятната за съответния елемент комбинация.</w:t>
      </w: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Изследвани са първите 12 форми на </w:t>
      </w:r>
      <w:r w:rsidR="00B6591E" w:rsidRPr="00932D56">
        <w:rPr>
          <w:rFonts w:eastAsia="Times New Roman" w:cs="Calibri"/>
          <w:bCs/>
          <w:sz w:val="24"/>
          <w:szCs w:val="24"/>
          <w:lang w:val="ru-RU" w:eastAsia="bg-BG"/>
        </w:rPr>
        <w:t>трептене които участват в изчис</w:t>
      </w:r>
      <w:r w:rsidR="00B6591E" w:rsidRPr="00932D56">
        <w:rPr>
          <w:rFonts w:eastAsia="Times New Roman" w:cs="Calibri"/>
          <w:bCs/>
          <w:sz w:val="24"/>
          <w:szCs w:val="24"/>
          <w:lang w:eastAsia="bg-BG"/>
        </w:rPr>
        <w:t>лителните</w:t>
      </w: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комбинация съгласно  НАРЕДБА № РД-02-20-2 от 27 януари 2012 г. за проектиране на сгради и съоръжения в земетръсни райони</w:t>
      </w: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2B7EF9" w:rsidRPr="00932D56" w:rsidRDefault="002B7EF9" w:rsidP="0075212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75212E" w:rsidRPr="00932D56" w:rsidRDefault="0075212E" w:rsidP="0075212E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    Проектант:</w:t>
      </w:r>
    </w:p>
    <w:p w:rsidR="009E47A4" w:rsidRPr="00932D56" w:rsidRDefault="0075212E" w:rsidP="009D24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  <w:r w:rsidRPr="00932D56">
        <w:rPr>
          <w:rFonts w:eastAsia="Times New Roman" w:cs="Calibri"/>
          <w:bCs/>
          <w:sz w:val="24"/>
          <w:szCs w:val="24"/>
          <w:lang w:val="ru-RU" w:eastAsia="bg-BG"/>
        </w:rPr>
        <w:t xml:space="preserve">                                                                                                         /инж. А.Чулев/</w:t>
      </w:r>
    </w:p>
    <w:p w:rsidR="00565389" w:rsidRPr="00932D56" w:rsidRDefault="00565389" w:rsidP="009D24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565389" w:rsidRPr="00932D56" w:rsidRDefault="00565389" w:rsidP="009D24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565389" w:rsidRPr="00932D56" w:rsidRDefault="00565389" w:rsidP="009D24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565389" w:rsidRPr="00932D56" w:rsidRDefault="00565389" w:rsidP="009D24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565389" w:rsidRPr="00932D56" w:rsidRDefault="00565389" w:rsidP="009D240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val="ru-RU" w:eastAsia="bg-BG"/>
        </w:rPr>
      </w:pPr>
    </w:p>
    <w:p w:rsidR="00565389" w:rsidRPr="00932D56" w:rsidRDefault="00565389" w:rsidP="00565389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565389" w:rsidRPr="00932D56" w:rsidRDefault="00565389" w:rsidP="009D2400">
      <w:pPr>
        <w:autoSpaceDE w:val="0"/>
        <w:autoSpaceDN w:val="0"/>
        <w:adjustRightInd w:val="0"/>
        <w:spacing w:after="0" w:line="240" w:lineRule="auto"/>
        <w:jc w:val="both"/>
      </w:pPr>
    </w:p>
    <w:sectPr w:rsidR="00565389" w:rsidRPr="00932D56" w:rsidSect="009D2400">
      <w:footerReference w:type="default" r:id="rId10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72E" w:rsidRDefault="004F472E" w:rsidP="00C52AD1">
      <w:pPr>
        <w:spacing w:after="0" w:line="240" w:lineRule="auto"/>
      </w:pPr>
      <w:r>
        <w:separator/>
      </w:r>
    </w:p>
  </w:endnote>
  <w:endnote w:type="continuationSeparator" w:id="0">
    <w:p w:rsidR="004F472E" w:rsidRDefault="004F472E" w:rsidP="00C52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141275"/>
      <w:docPartObj>
        <w:docPartGallery w:val="Page Numbers (Bottom of Page)"/>
        <w:docPartUnique/>
      </w:docPartObj>
    </w:sdtPr>
    <w:sdtEndPr/>
    <w:sdtContent>
      <w:p w:rsidR="00C52AD1" w:rsidRDefault="001C34D1">
        <w:pPr>
          <w:pStyle w:val="Footer"/>
          <w:jc w:val="right"/>
        </w:pPr>
        <w:r>
          <w:fldChar w:fldCharType="begin"/>
        </w:r>
        <w:r w:rsidR="00731C90">
          <w:instrText xml:space="preserve"> PAGE   \* MERGEFORMAT </w:instrText>
        </w:r>
        <w:r>
          <w:fldChar w:fldCharType="separate"/>
        </w:r>
        <w:r w:rsidR="00FA52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2AD1" w:rsidRDefault="00C52A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72E" w:rsidRDefault="004F472E" w:rsidP="00C52AD1">
      <w:pPr>
        <w:spacing w:after="0" w:line="240" w:lineRule="auto"/>
      </w:pPr>
      <w:r>
        <w:separator/>
      </w:r>
    </w:p>
  </w:footnote>
  <w:footnote w:type="continuationSeparator" w:id="0">
    <w:p w:rsidR="004F472E" w:rsidRDefault="004F472E" w:rsidP="00C52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2A9"/>
    <w:multiLevelType w:val="hybridMultilevel"/>
    <w:tmpl w:val="44FE19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52964"/>
    <w:multiLevelType w:val="hybridMultilevel"/>
    <w:tmpl w:val="4E22D93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5A51A8"/>
    <w:multiLevelType w:val="hybridMultilevel"/>
    <w:tmpl w:val="ABBA9C9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D50"/>
    <w:rsid w:val="000041AC"/>
    <w:rsid w:val="00083F51"/>
    <w:rsid w:val="000A68DE"/>
    <w:rsid w:val="000C5BD5"/>
    <w:rsid w:val="000F0985"/>
    <w:rsid w:val="000F3277"/>
    <w:rsid w:val="001666BF"/>
    <w:rsid w:val="0017782F"/>
    <w:rsid w:val="00184CD6"/>
    <w:rsid w:val="001A2055"/>
    <w:rsid w:val="001B654A"/>
    <w:rsid w:val="001C34D1"/>
    <w:rsid w:val="001C7092"/>
    <w:rsid w:val="00227602"/>
    <w:rsid w:val="002B7EF9"/>
    <w:rsid w:val="002C4ADA"/>
    <w:rsid w:val="002F273D"/>
    <w:rsid w:val="002F31F4"/>
    <w:rsid w:val="002F7028"/>
    <w:rsid w:val="00343256"/>
    <w:rsid w:val="00371B3A"/>
    <w:rsid w:val="004808DA"/>
    <w:rsid w:val="004C7C01"/>
    <w:rsid w:val="004F472E"/>
    <w:rsid w:val="00504140"/>
    <w:rsid w:val="00505B57"/>
    <w:rsid w:val="00506C40"/>
    <w:rsid w:val="0053710D"/>
    <w:rsid w:val="00542A66"/>
    <w:rsid w:val="00565389"/>
    <w:rsid w:val="00582862"/>
    <w:rsid w:val="005F4E69"/>
    <w:rsid w:val="00630F26"/>
    <w:rsid w:val="0064278C"/>
    <w:rsid w:val="00644DAC"/>
    <w:rsid w:val="006534E1"/>
    <w:rsid w:val="006673EC"/>
    <w:rsid w:val="00676E9F"/>
    <w:rsid w:val="006A58D2"/>
    <w:rsid w:val="007128A1"/>
    <w:rsid w:val="007203C4"/>
    <w:rsid w:val="00731C90"/>
    <w:rsid w:val="00745151"/>
    <w:rsid w:val="00750F41"/>
    <w:rsid w:val="0075212E"/>
    <w:rsid w:val="00764FC9"/>
    <w:rsid w:val="00774512"/>
    <w:rsid w:val="007D5988"/>
    <w:rsid w:val="007E64E7"/>
    <w:rsid w:val="008642D2"/>
    <w:rsid w:val="008D791E"/>
    <w:rsid w:val="00917D50"/>
    <w:rsid w:val="00932697"/>
    <w:rsid w:val="00932762"/>
    <w:rsid w:val="00932D56"/>
    <w:rsid w:val="00935DCB"/>
    <w:rsid w:val="0096438C"/>
    <w:rsid w:val="009815B9"/>
    <w:rsid w:val="00992F77"/>
    <w:rsid w:val="009C1D36"/>
    <w:rsid w:val="009D2400"/>
    <w:rsid w:val="009E47A4"/>
    <w:rsid w:val="00A10A9E"/>
    <w:rsid w:val="00A17A40"/>
    <w:rsid w:val="00A94CE1"/>
    <w:rsid w:val="00B033E5"/>
    <w:rsid w:val="00B500D9"/>
    <w:rsid w:val="00B62990"/>
    <w:rsid w:val="00B6591E"/>
    <w:rsid w:val="00BE62D7"/>
    <w:rsid w:val="00C175BD"/>
    <w:rsid w:val="00C248E4"/>
    <w:rsid w:val="00C52AD1"/>
    <w:rsid w:val="00CC6FBD"/>
    <w:rsid w:val="00D057B8"/>
    <w:rsid w:val="00D863DA"/>
    <w:rsid w:val="00DD323F"/>
    <w:rsid w:val="00DD3F7D"/>
    <w:rsid w:val="00E4292C"/>
    <w:rsid w:val="00E55E78"/>
    <w:rsid w:val="00E8173B"/>
    <w:rsid w:val="00EA0E79"/>
    <w:rsid w:val="00ED339A"/>
    <w:rsid w:val="00EE349D"/>
    <w:rsid w:val="00F30B02"/>
    <w:rsid w:val="00F52C77"/>
    <w:rsid w:val="00F8625F"/>
    <w:rsid w:val="00FA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D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D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AD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5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AD1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0F327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0F327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667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PageNumber">
    <w:name w:val="page number"/>
    <w:basedOn w:val="DefaultParagraphFont"/>
    <w:uiPriority w:val="99"/>
    <w:semiHidden/>
    <w:unhideWhenUsed/>
    <w:rsid w:val="00A94C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D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7D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AD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5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AD1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0F327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0F327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ek-bg.com/index.php?option=com_zoo&amp;task=item&amp;item_id=1165&amp;Itemid=114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2BA0D-4164-4B64-BF82-FC76E658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Playboy</cp:lastModifiedBy>
  <cp:revision>27</cp:revision>
  <cp:lastPrinted>2016-02-17T10:07:00Z</cp:lastPrinted>
  <dcterms:created xsi:type="dcterms:W3CDTF">2016-02-17T13:39:00Z</dcterms:created>
  <dcterms:modified xsi:type="dcterms:W3CDTF">2018-05-22T08:39:00Z</dcterms:modified>
</cp:coreProperties>
</file>